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800"/>
      </w:tblGrid>
      <w:tr>
        <w:trPr>
          <w:trHeight w:val="16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D3A" w:val="clear"/>
            <w:tcMar>
              <w:top w:type="dxa" w:w="240"/>
              <w:left w:type="dxa" w:w="480"/>
              <w:bottom w:type="dxa" w:w="240"/>
              <w:right w:type="dxa" w:w="48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2286000" cy="8382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/>
            </w:pPr>
            <w:r>
              <w:rPr>
                <w:rFonts w:ascii="Georgia" w:cs="Georgia" w:eastAsia="Georgia" w:hAnsi="Georgia"/>
                <w:i/>
                <w:iCs/>
                <w:color w:val="C9A961"/>
                <w:sz w:val="22"/>
                <w:szCs w:val="22"/>
              </w:rPr>
              <w:t xml:space="preserve">Empowering Growth Through Strategic Change</w:t>
            </w:r>
          </w:p>
        </w:tc>
      </w:tr>
    </w:tbl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00"/>
        <w:gridCol w:w="380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200"/>
              <w:right w:type="dxa" w:w="280"/>
            </w:tcMar>
            <w:vAlign w:val="top"/>
          </w:tcPr>
          <w:p>
            <w:pPr>
              <w:spacing w:after="100" w:before="200" w:line="280"/>
              <w:jc w:val="both"/>
            </w:pPr>
            <w:r>
              <w:rPr>
                <w:rFonts w:ascii="Arial" w:cs="Arial" w:eastAsia="Arial" w:hAnsi="Arial"/>
                <w:b/>
                <w:bCs/>
                <w:color w:val="0F4D3A"/>
                <w:sz w:val="20"/>
                <w:szCs w:val="20"/>
              </w:rPr>
              <w:t xml:space="preserve">ABP Solutions, LLC </w:t>
            </w:r>
            <w:r>
              <w:rPr>
                <w:rFonts w:ascii="Arial" w:cs="Arial" w:eastAsia="Arial" w:hAnsi="Arial"/>
                <w:color w:val="14181F"/>
                <w:sz w:val="20"/>
                <w:szCs w:val="20"/>
              </w:rPr>
              <w:t xml:space="preserve">is a minority and woman-owned small business providing exceptional program and project management consulting services. Based in Washington, D.C., we serve state, local, and federal agencies alongside large private-sector clients in healthcare and information technology. ABP leverages industry-leading expertise in disciplined project management and change management to deliver mission-critical work — implementations, operations, product launches, system upgrades, and full-scale business transformations. As a results-driven firm, we are committed to continuous improvement, relentless innovation, and surpassing industry standards to help clients optimize organizational performance, refine business processes, and achieve tangible business outcomes.</w:t>
            </w:r>
          </w:p>
          <w:p>
            <w:pPr>
              <w:pBdr>
                <w:bottom w:val="single" w:color="C9A961" w:sz="6" w:space="4"/>
              </w:pBdr>
              <w:spacing w:after="100" w:before="180"/>
            </w:pPr>
            <w:r>
              <w:rPr>
                <w:rFonts w:ascii="Arial" w:cs="Arial" w:eastAsia="Arial" w:hAnsi="Arial"/>
                <w:b/>
                <w:bCs/>
                <w:color w:val="0F4D3A"/>
                <w:spacing w:val="40"/>
                <w:sz w:val="22"/>
                <w:szCs w:val="22"/>
              </w:rPr>
              <w:t xml:space="preserve">CORE COMPETENCIES</w:t>
            </w:r>
          </w:p>
          <w:tbl>
            <w:tblPr>
              <w:tblW w:type="dxa" w:w="7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3500"/>
              <w:gridCol w:w="3500"/>
            </w:tblGrid>
            <w:tr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</w:tcPr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Operations and Management Consulting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Software and Platform Development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Project Budgeting and Procurement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Staffing and Logistics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Vetting, Recruitment, and Personnel Management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Processes, Standards, and Methodologies Management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</w:tcPr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Cybersecurity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Contract Transition Management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Policy Development and Evaluation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Contract Management and Compliance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Change Management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60"/>
                  </w:pPr>
                  <w:r>
                    <w:rPr>
                      <w:rFonts w:ascii="Arial" w:cs="Arial" w:eastAsia="Arial" w:hAnsi="Arial"/>
                      <w:color w:val="14181F"/>
                      <w:sz w:val="18"/>
                      <w:szCs w:val="18"/>
                    </w:rPr>
                    <w:t xml:space="preserve">New Venture Build and Incubation</w:t>
                  </w:r>
                </w:p>
              </w:tc>
            </w:tr>
          </w:tbl>
          <w:p>
            <w:pPr>
              <w:pBdr>
                <w:bottom w:val="single" w:color="C9A961" w:sz="6" w:space="4"/>
              </w:pBdr>
              <w:spacing w:after="100" w:before="180"/>
            </w:pPr>
            <w:r>
              <w:rPr>
                <w:rFonts w:ascii="Arial" w:cs="Arial" w:eastAsia="Arial" w:hAnsi="Arial"/>
                <w:b/>
                <w:bCs/>
                <w:color w:val="0F4D3A"/>
                <w:spacing w:val="40"/>
                <w:sz w:val="22"/>
                <w:szCs w:val="22"/>
              </w:rPr>
              <w:t xml:space="preserve">PAST PERFORMANCE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80" w:line="260"/>
            </w:pP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Directed the complete relocation of </w:t>
            </w:r>
            <w:r>
              <w:rPr>
                <w:rFonts w:ascii="Arial" w:cs="Arial" w:eastAsia="Arial" w:hAnsi="Arial"/>
                <w:b/>
                <w:bCs/>
                <w:color w:val="0F4D3A"/>
                <w:sz w:val="18"/>
                <w:szCs w:val="18"/>
              </w:rPr>
              <w:t xml:space="preserve">Arlington County</w:t>
            </w: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's data center, ensuring seamless transition of critical infrastructure with virtually zero downtime and minimal operational disruption.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80" w:line="260"/>
            </w:pP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Led all phases of  </w:t>
            </w:r>
            <w:r>
              <w:rPr>
                <w:rFonts w:ascii="Arial" w:cs="Arial" w:eastAsia="Arial" w:hAnsi="Arial"/>
                <w:b/>
                <w:bCs/>
                <w:color w:val="0F4D3A"/>
                <w:sz w:val="18"/>
                <w:szCs w:val="18"/>
              </w:rPr>
              <w:t xml:space="preserve">Crane NXT</w:t>
            </w: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's venture competition — from participant recruitment through final pitch day — coordinating multiple stakeholders to deliver a successful innovation showcase.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80" w:line="260"/>
            </w:pP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Built  </w:t>
            </w:r>
            <w:r>
              <w:rPr>
                <w:rFonts w:ascii="Arial" w:cs="Arial" w:eastAsia="Arial" w:hAnsi="Arial"/>
                <w:b/>
                <w:bCs/>
                <w:color w:val="0F4D3A"/>
                <w:sz w:val="18"/>
                <w:szCs w:val="18"/>
              </w:rPr>
              <w:t xml:space="preserve">Mach49</w:t>
            </w: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's Program Management division from zero to a team of eight project and program managers in one year, driving 88% process improvement across all sectors of the company.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80" w:line="260"/>
            </w:pP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Directed change management for  </w:t>
            </w:r>
            <w:r>
              <w:rPr>
                <w:rFonts w:ascii="Arial" w:cs="Arial" w:eastAsia="Arial" w:hAnsi="Arial"/>
                <w:b/>
                <w:bCs/>
                <w:color w:val="0F4D3A"/>
                <w:sz w:val="18"/>
                <w:szCs w:val="18"/>
              </w:rPr>
              <w:t xml:space="preserve">Moneygram</w:t>
            </w: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's new ERP deployment, ensuring seamless adoption through stakeholder engagement, user training, and communication strategy.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80" w:line="260"/>
            </w:pP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Spearheaded a two-day live meeting for 45 senior leaders from  </w:t>
            </w:r>
            <w:r>
              <w:rPr>
                <w:rFonts w:ascii="Arial" w:cs="Arial" w:eastAsia="Arial" w:hAnsi="Arial"/>
                <w:b/>
                <w:bCs/>
                <w:color w:val="0F4D3A"/>
                <w:sz w:val="18"/>
                <w:szCs w:val="18"/>
              </w:rPr>
              <w:t xml:space="preserve">PwC and Google</w:t>
            </w:r>
            <w:r>
              <w:rPr>
                <w:rFonts w:ascii="Arial" w:cs="Arial" w:eastAsia="Arial" w:hAnsi="Arial"/>
                <w:color w:val="14181F"/>
                <w:sz w:val="18"/>
                <w:szCs w:val="18"/>
              </w:rPr>
              <w:t xml:space="preserve">, driving alignment on the Google Suite rollout through disciplined execution of the project management lifecycle.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E" w:val="clear"/>
            <w:tcMar>
              <w:top w:type="dxa" w:w="320"/>
              <w:left w:type="dxa" w:w="320"/>
              <w:bottom w:type="dxa" w:w="320"/>
              <w:right w:type="dxa" w:w="32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9A961"/>
                <w:spacing w:val="30"/>
                <w:sz w:val="16"/>
                <w:szCs w:val="16"/>
              </w:rPr>
              <w:t xml:space="preserve">LEADERSHIP</w:t>
            </w:r>
          </w:p>
          <w:p>
            <w:pPr>
              <w:spacing w:after="30" w:line="260"/>
            </w:pPr>
            <w:r>
              <w:rPr>
                <w:rFonts w:ascii="Arial" w:cs="Arial" w:eastAsia="Arial" w:hAnsi="Arial"/>
                <w:b/>
                <w:bCs/>
                <w:color w:val="FAF6EE"/>
                <w:sz w:val="20"/>
                <w:szCs w:val="20"/>
              </w:rPr>
              <w:t xml:space="preserve">Jenny Metellus Pierre</w:t>
            </w:r>
          </w:p>
          <w:p>
            <w:pPr>
              <w:spacing w:after="30" w:line="240"/>
            </w:pPr>
            <w:r>
              <w:rPr>
                <w:rFonts w:ascii="Arial" w:cs="Arial" w:eastAsia="Arial" w:hAnsi="Arial"/>
                <w:i/>
                <w:iCs/>
                <w:color w:val="FAF6EE"/>
                <w:sz w:val="17"/>
                <w:szCs w:val="17"/>
              </w:rPr>
              <w:t xml:space="preserve">Founder &amp; CEO</w:t>
            </w:r>
          </w:p>
          <w:p>
            <w:pPr>
              <w:spacing w:after="200" w:line="260"/>
            </w:pPr>
            <w:r>
              <w:rPr>
                <w:rFonts w:ascii="Arial" w:cs="Arial" w:eastAsia="Arial" w:hAnsi="Arial"/>
                <w:color w:val="C9A961"/>
                <w:sz w:val="16"/>
                <w:szCs w:val="16"/>
              </w:rPr>
              <w:t xml:space="preserve">MPA · PMP · CSM · CPM · SAFe Agile</w:t>
            </w:r>
          </w:p>
          <w:p>
            <w:pPr>
              <w:pBdr>
                <w:bottom w:val="single" w:color="C9A961" w:sz="4" w:space="1"/>
              </w:pBdr>
              <w:spacing w:after="200" w:before="0"/>
            </w:pPr>
            <w:r>
              <w:rPr>
                <w:sz w:val="1"/>
                <w:szCs w:val="1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9A961"/>
                <w:spacing w:val="30"/>
                <w:sz w:val="16"/>
                <w:szCs w:val="16"/>
              </w:rPr>
              <w:t xml:space="preserve">SPECS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FAF6EE"/>
                <w:sz w:val="14"/>
                <w:szCs w:val="14"/>
              </w:rPr>
              <w:t xml:space="preserve">DUNS</w:t>
            </w:r>
          </w:p>
          <w:p>
            <w:pPr>
              <w:spacing w:after="160" w:line="24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118160968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AF6EE"/>
                <w:sz w:val="14"/>
                <w:szCs w:val="14"/>
              </w:rPr>
              <w:t xml:space="preserve">NAICS CODES</w:t>
            </w:r>
          </w:p>
          <w:p>
            <w:pPr>
              <w:spacing w:after="60" w:line="240"/>
            </w:pPr>
            <w:r>
              <w:rPr>
                <w:rFonts w:ascii="Arial" w:cs="Arial" w:eastAsia="Arial" w:hAnsi="Arial"/>
                <w:b/>
                <w:bCs/>
                <w:color w:val="C9A961"/>
                <w:sz w:val="17"/>
                <w:szCs w:val="17"/>
              </w:rPr>
              <w:t xml:space="preserve">541611  </w:t>
            </w:r>
            <w:r>
              <w:rPr>
                <w:rFonts w:ascii="Arial" w:cs="Arial" w:eastAsia="Arial" w:hAnsi="Arial"/>
                <w:color w:val="FAF6EE"/>
                <w:sz w:val="16"/>
                <w:szCs w:val="16"/>
              </w:rPr>
              <w:t xml:space="preserve">Administrative Mgmt. &amp; General Mgmt. Consulting Services</w:t>
            </w:r>
          </w:p>
          <w:p>
            <w:pPr>
              <w:spacing w:after="60" w:line="240"/>
            </w:pPr>
            <w:r>
              <w:rPr>
                <w:rFonts w:ascii="Arial" w:cs="Arial" w:eastAsia="Arial" w:hAnsi="Arial"/>
                <w:b/>
                <w:bCs/>
                <w:color w:val="C9A961"/>
                <w:sz w:val="17"/>
                <w:szCs w:val="17"/>
              </w:rPr>
              <w:t xml:space="preserve">541618  </w:t>
            </w:r>
            <w:r>
              <w:rPr>
                <w:rFonts w:ascii="Arial" w:cs="Arial" w:eastAsia="Arial" w:hAnsi="Arial"/>
                <w:color w:val="FAF6EE"/>
                <w:sz w:val="16"/>
                <w:szCs w:val="16"/>
              </w:rPr>
              <w:t xml:space="preserve">Other Management Consulting Services</w:t>
            </w:r>
          </w:p>
          <w:p>
            <w:pPr>
              <w:spacing w:after="60" w:line="240"/>
            </w:pPr>
            <w:r>
              <w:rPr>
                <w:rFonts w:ascii="Arial" w:cs="Arial" w:eastAsia="Arial" w:hAnsi="Arial"/>
                <w:b/>
                <w:bCs/>
                <w:color w:val="C9A961"/>
                <w:sz w:val="17"/>
                <w:szCs w:val="17"/>
              </w:rPr>
              <w:t xml:space="preserve">541990  </w:t>
            </w:r>
            <w:r>
              <w:rPr>
                <w:rFonts w:ascii="Arial" w:cs="Arial" w:eastAsia="Arial" w:hAnsi="Arial"/>
                <w:color w:val="FAF6EE"/>
                <w:sz w:val="16"/>
                <w:szCs w:val="16"/>
              </w:rPr>
              <w:t xml:space="preserve">All Other Professional, Scientific &amp; Technical Services</w:t>
            </w:r>
          </w:p>
          <w:p>
            <w:pPr>
              <w:spacing w:after="60" w:line="240"/>
            </w:pPr>
            <w:r>
              <w:rPr>
                <w:rFonts w:ascii="Arial" w:cs="Arial" w:eastAsia="Arial" w:hAnsi="Arial"/>
                <w:b/>
                <w:bCs/>
                <w:color w:val="C9A961"/>
                <w:sz w:val="17"/>
                <w:szCs w:val="17"/>
              </w:rPr>
              <w:t xml:space="preserve">561499  </w:t>
            </w:r>
            <w:r>
              <w:rPr>
                <w:rFonts w:ascii="Arial" w:cs="Arial" w:eastAsia="Arial" w:hAnsi="Arial"/>
                <w:color w:val="FAF6EE"/>
                <w:sz w:val="16"/>
                <w:szCs w:val="16"/>
              </w:rPr>
              <w:t xml:space="preserve">All Other Business Support Services</w:t>
            </w:r>
          </w:p>
          <w:p>
            <w:pPr>
              <w:pBdr>
                <w:bottom w:val="single" w:color="C9A961" w:sz="4" w:space="1"/>
              </w:pBdr>
              <w:spacing w:after="200" w:before="240"/>
            </w:pPr>
            <w:r>
              <w:rPr>
                <w:sz w:val="1"/>
                <w:szCs w:val="1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9A961"/>
                <w:spacing w:val="30"/>
                <w:sz w:val="16"/>
                <w:szCs w:val="16"/>
              </w:rPr>
              <w:t xml:space="preserve">CERTIFICATIONS IN PROGRESS</w:t>
            </w:r>
          </w:p>
          <w:p>
            <w:pPr>
              <w:spacing w:after="30" w:line="28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SAM.gov</w:t>
            </w:r>
          </w:p>
          <w:p>
            <w:pPr>
              <w:spacing w:after="30" w:line="28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SBA 8(a)</w:t>
            </w:r>
          </w:p>
          <w:p>
            <w:pPr>
              <w:spacing w:after="30" w:line="28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WOSB</w:t>
            </w:r>
          </w:p>
          <w:p>
            <w:pPr>
              <w:spacing w:after="30" w:line="28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CBE (DC)</w:t>
            </w:r>
          </w:p>
          <w:p>
            <w:pPr>
              <w:spacing w:after="240" w:line="280"/>
            </w:pPr>
            <w:r>
              <w:rPr>
                <w:rFonts w:ascii="Arial" w:cs="Arial" w:eastAsia="Arial" w:hAnsi="Arial"/>
                <w:color w:val="FAF6EE"/>
                <w:sz w:val="18"/>
                <w:szCs w:val="18"/>
              </w:rPr>
              <w:t xml:space="preserve">SWaM (VA)</w:t>
            </w:r>
          </w:p>
          <w:p>
            <w:pPr>
              <w:pBdr>
                <w:bottom w:val="single" w:color="C9A961" w:sz="4" w:space="1"/>
              </w:pBdr>
              <w:spacing w:after="200" w:before="0"/>
            </w:pPr>
            <w:r>
              <w:rPr>
                <w:sz w:val="1"/>
                <w:szCs w:val="1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9A961"/>
                <w:spacing w:val="30"/>
                <w:sz w:val="16"/>
                <w:szCs w:val="16"/>
              </w:rPr>
              <w:t xml:space="preserve">DESIGNATION</w:t>
            </w:r>
          </w:p>
          <w:p>
            <w:pPr>
              <w:spacing w:after="30" w:line="280"/>
            </w:pPr>
            <w:r>
              <w:rPr>
                <w:rFonts w:ascii="Arial" w:cs="Arial" w:eastAsia="Arial" w:hAnsi="Arial"/>
                <w:b/>
                <w:bCs/>
                <w:color w:val="FAF6EE"/>
                <w:sz w:val="18"/>
                <w:szCs w:val="18"/>
              </w:rPr>
              <w:t xml:space="preserve">Minority Woman-Owned</w:t>
            </w:r>
          </w:p>
          <w:p>
            <w:pPr>
              <w:spacing w:after="240" w:line="280"/>
            </w:pPr>
            <w:r>
              <w:rPr>
                <w:rFonts w:ascii="Arial" w:cs="Arial" w:eastAsia="Arial" w:hAnsi="Arial"/>
                <w:b/>
                <w:bCs/>
                <w:color w:val="FAF6EE"/>
                <w:sz w:val="18"/>
                <w:szCs w:val="18"/>
              </w:rPr>
              <w:t xml:space="preserve">Small Business (MWOSB)</w:t>
            </w:r>
          </w:p>
        </w:tc>
      </w:tr>
    </w:tbl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800"/>
      </w:tblGrid>
      <w:tr>
        <w:trPr>
          <w:trHeight w:val="54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D3A" w:val="clear"/>
            <w:tcMar>
              <w:top w:type="dxa" w:w="160"/>
              <w:left w:type="dxa" w:w="360"/>
              <w:bottom w:type="dxa" w:w="160"/>
              <w:right w:type="dxa" w:w="3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AF6EE"/>
                <w:sz w:val="19"/>
                <w:szCs w:val="19"/>
              </w:rPr>
              <w:t xml:space="preserve">jenny@abpsllc.com</w:t>
            </w:r>
            <w:r>
              <w:rPr>
                <w:rFonts w:ascii="Arial" w:cs="Arial" w:eastAsia="Arial" w:hAnsi="Arial"/>
                <w:color w:val="C9A961"/>
                <w:sz w:val="19"/>
                <w:szCs w:val="19"/>
              </w:rPr>
              <w:t xml:space="preserve">    ·    </w:t>
            </w:r>
            <w:r>
              <w:rPr>
                <w:rFonts w:ascii="Arial" w:cs="Arial" w:eastAsia="Arial" w:hAnsi="Arial"/>
                <w:b/>
                <w:bCs/>
                <w:color w:val="FAF6EE"/>
                <w:sz w:val="19"/>
                <w:szCs w:val="19"/>
              </w:rPr>
              <w:t xml:space="preserve">301.442.7714</w:t>
            </w:r>
            <w:r>
              <w:rPr>
                <w:rFonts w:ascii="Arial" w:cs="Arial" w:eastAsia="Arial" w:hAnsi="Arial"/>
                <w:color w:val="C9A961"/>
                <w:sz w:val="19"/>
                <w:szCs w:val="19"/>
              </w:rPr>
              <w:t xml:space="preserve">    ·    </w:t>
            </w:r>
            <w:r>
              <w:rPr>
                <w:rFonts w:ascii="Arial" w:cs="Arial" w:eastAsia="Arial" w:hAnsi="Arial"/>
                <w:b/>
                <w:bCs/>
                <w:color w:val="FAF6EE"/>
                <w:sz w:val="19"/>
                <w:szCs w:val="19"/>
              </w:rPr>
              <w:t xml:space="preserve">abpsllc.com</w:t>
            </w:r>
            <w:r>
              <w:rPr>
                <w:rFonts w:ascii="Arial" w:cs="Arial" w:eastAsia="Arial" w:hAnsi="Arial"/>
                <w:color w:val="C9A961"/>
                <w:sz w:val="19"/>
                <w:szCs w:val="19"/>
              </w:rPr>
              <w:t xml:space="preserve">    ·    </w:t>
            </w:r>
            <w:r>
              <w:rPr>
                <w:rFonts w:ascii="Arial" w:cs="Arial" w:eastAsia="Arial" w:hAnsi="Arial"/>
                <w:b/>
                <w:bCs/>
                <w:color w:val="FAF6EE"/>
                <w:sz w:val="19"/>
                <w:szCs w:val="19"/>
              </w:rPr>
              <w:t xml:space="preserve">Washington, D.C.</w:t>
            </w:r>
          </w:p>
        </w:tc>
      </w:tr>
    </w:tbl>
    <w:sectPr>
      <w:pgSz w:w="12240" w:h="15840" w:orient="portrait"/>
      <w:pgMar w:top="0" w:right="720" w:bottom="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■"/>
      <w:lvlJc w:val="left"/>
      <w:pPr>
        <w:ind w:left="240" w:hanging="200"/>
      </w:pPr>
      <w:rPr>
        <w:rFonts w:ascii="Arial" w:cs="Arial" w:eastAsia="Arial" w:hAnsi="Arial"/>
        <w:color w:val="C9A961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280" w:hanging="220"/>
      </w:pPr>
      <w:rPr>
        <w:rFonts w:ascii="Arial" w:cs="Arial" w:eastAsia="Arial" w:hAnsi="Arial"/>
        <w:color w:val="C9A961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a8c144acb55a7fc666d03071ea3b9529dc2ae2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ABP Solutions Capabilities Statement</dc:title>
  <dc:creator>ABP Solutions LLC</dc:creator>
  <cp:lastModifiedBy>Un-named</cp:lastModifiedBy>
  <cp:revision>1</cp:revision>
  <dcterms:created xsi:type="dcterms:W3CDTF">2026-06-25T14:22:11.565Z</dcterms:created>
  <dcterms:modified xsi:type="dcterms:W3CDTF">2026-06-25T14:22:11.565Z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